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D" w:rsidRPr="00D94E4D" w:rsidRDefault="00D94E4D" w:rsidP="00D94E4D">
      <w:pPr>
        <w:shd w:val="clear" w:color="auto" w:fill="FFFFFF"/>
        <w:spacing w:after="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D94E4D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Выбор оружия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ОФИЦИАЛЬНАЯ ПРЕАМБУЛА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9 Апреля 2015 года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Lobaev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Arms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lang w:eastAsia="ru-RU"/>
        </w:rPr>
        <w:t> </w:t>
      </w:r>
      <w:hyperlink r:id="rId5" w:tgtFrame="_blank" w:history="1">
        <w:r w:rsidRPr="00D94E4D">
          <w:rPr>
            <w:rFonts w:ascii="inherit" w:eastAsia="Times New Roman" w:hAnsi="inherit" w:cs="Arial"/>
            <w:color w:val="990000"/>
            <w:sz w:val="21"/>
            <w:lang w:eastAsia="ru-RU"/>
          </w:rPr>
          <w:t>установила новый мировой рекорд</w:t>
        </w:r>
      </w:hyperlink>
      <w:r w:rsidRPr="00D94E4D">
        <w:rPr>
          <w:rFonts w:ascii="inherit" w:eastAsia="Times New Roman" w:hAnsi="inherit" w:cs="Arial"/>
          <w:color w:val="333333"/>
          <w:sz w:val="21"/>
          <w:lang w:eastAsia="ru-RU"/>
        </w:rPr>
        <w:t> 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по дальности одиночного попадания из винтовки (3400м/3720 ярдов), ранее принадлежавший американским стрелкам-оружейникам (3290 метров/3600 ярдов). Рекорд был зафиксирован съемочной группой канала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Lifenews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 помощью одновременной работы нескольких видеокамер, а также независимыми наблюдателями.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В стрелковом мире событие было названо новой победой отечественного оружия, что не прошло незамеченным для американской аудитории, в чьих комментариях содержались высказывания типа: «такие рекорды могут принадлежать только Америке» и «такой рекорд должен быть побит только американцем». Американские оружейники и стрелки, считающие себя бесспорными лидерами в сверхдальней стрельбе, восприняли российский рекорд в качестве некоего вызова, потребовавшего от них практических действий.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30 Июня 2015 года американцы</w:t>
      </w:r>
      <w:r w:rsidRPr="00D94E4D">
        <w:rPr>
          <w:rFonts w:ascii="inherit" w:eastAsia="Times New Roman" w:hAnsi="inherit" w:cs="Arial"/>
          <w:color w:val="333333"/>
          <w:sz w:val="21"/>
          <w:lang w:eastAsia="ru-RU"/>
        </w:rPr>
        <w:t> </w:t>
      </w:r>
      <w:hyperlink r:id="rId6" w:tgtFrame="_blank" w:history="1">
        <w:r w:rsidRPr="00D94E4D">
          <w:rPr>
            <w:rFonts w:ascii="inherit" w:eastAsia="Times New Roman" w:hAnsi="inherit" w:cs="Arial"/>
            <w:color w:val="990000"/>
            <w:sz w:val="21"/>
            <w:lang w:eastAsia="ru-RU"/>
          </w:rPr>
          <w:t>вернули себе рекорд</w:t>
        </w:r>
      </w:hyperlink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на 75 метров увеличив дальность, сделав зафиксированное на видео попадание на 3800 ярдов/3475 метров.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В результате завязалось неофициальное противостояние в области сверхдальней стрельбы между нашими странами в этом узком, не только спортивном, но и прикладном направлении.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Конструкторское Бюро Интегрированных Систем, действующее под брендом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Lobaev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Arms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специализирующееся на создании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свердальнобойного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дальнобойного стрелкового оружия, приняло на себя миссию ответного установления рекорда. Защищая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престиж страны и отечественной промышленности и поднимая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его в глазах мировой общественности и потенциальных потребителей на новый уровень, КБИС фактически выступает локомотивом отрасли в данном вопросе.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ЭТАПЫ БОЛЬШОГО ПУТИ</w:t>
      </w:r>
      <w:r w:rsidRPr="00D94E4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Мы решили: уж если ставить зарубку на новую дальность, то надо сделать это красиво. Да не просто красиво, но с чувством, с толком, с расстановкой.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Можно без подготовки, да дальности уж очень серьезные. И ведь хочется попасть не каким-нибудь 19-м выстрелом, как американцы (хоть это и не умаляет их результата — ведь далеко!), а как можно более немедленно.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Ну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хотя бы почти сразу.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Выехать на старом багаже возможно, но для того, чтобы попадание на дальностях далеко за «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трешку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» было уверенным, все в снайперской системе должно быть совершенным по исполнению. Не набившим оскомину инновационным, а по-настоящему передовым.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ПУЛЯ</w:t>
      </w:r>
      <w:proofErr w:type="gramStart"/>
      <w:r w:rsidRPr="00D94E4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Н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аш классический 408-ой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солид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массой 419 гран (D30), с которым установлен предыдущий рекорд, в 2-3 раза превышает по кучности имеющиеся на рынке аналоги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Lost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River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Jameson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и вполне достаточен для уверенной стрельбы на 2500+ метров. Но в сравнении со стоящими перед нами задачами — это детские дальности. Для стрельбы за три нам потребуется нечто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потяжелее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гораздо более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аэродинамически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эффективное.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И такая работа была начата нами загодя, так что к настоящему моменту только для 408 патрона было разработано 4 новых типа пуль для задач сверхдальней стрельбы,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помимо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сверхдальней 2-х компонентной охотничьей и АР.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 xml:space="preserve">На снимках ниже фрагменты испытаний на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гиростабилизацию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кучность 2-х из разработанных типов .408 пуль: 30 грамм (463 гран) и 32 грамма (494 гран), на дальности 100 метров. Оружие: испытательная винтовка СВЛК-14 Сумрак со специальным каналом.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62275" cy="2162175"/>
            <wp:effectExtent l="19050" t="0" r="9525" b="0"/>
            <wp:docPr id="1" name="Рисунок 1" descr="Выбор оруж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оруж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248400" cy="4171950"/>
            <wp:effectExtent l="19050" t="0" r="0" b="0"/>
            <wp:docPr id="2" name="Рисунок 2" descr="Выбор оруж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ор оруж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962275" cy="1971675"/>
            <wp:effectExtent l="19050" t="0" r="9525" b="0"/>
            <wp:docPr id="3" name="Рисунок 3" descr="Выбор оруж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ор оруж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Результаты испытаний были признаны обнадеживающими и 2 типа пуль переведены на этап испытаний на дальностях 2км и более. Работа с другими типами пуль продолжается в соответствии с программой заводских испытаний.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Также в ходе подготовки к рекорду мы будем испытывать два разработанных патрона, доселе не предъявленных общественности. Они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расчетно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превосходят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Cheytac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 ряду характеристик, и, надеемся, не увеличат массу оружия, либо увеличат ее незначительно.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ВИНТОВКА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Д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аже при условии стрельбы нового рекорда, скажем, нашей классической пулей 419 гран, у нас все еще имеются варианты по оружию. Основных фигурантов два: СВЛК-14 Сумрак и DXL-4 Севастополь, оба в базе в 408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Cheytac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hyperlink r:id="rId10" w:tgtFrame="_blank" w:history="1">
        <w:r w:rsidRPr="00D94E4D">
          <w:rPr>
            <w:rFonts w:ascii="inherit" w:eastAsia="Times New Roman" w:hAnsi="inherit" w:cs="Arial"/>
            <w:color w:val="990000"/>
            <w:sz w:val="21"/>
            <w:lang w:eastAsia="ru-RU"/>
          </w:rPr>
          <w:t>СВЛК-14 Сумрак</w:t>
        </w:r>
      </w:hyperlink>
      <w:r w:rsidRPr="00D94E4D">
        <w:rPr>
          <w:rFonts w:ascii="inherit" w:eastAsia="Times New Roman" w:hAnsi="inherit" w:cs="Arial"/>
          <w:color w:val="333333"/>
          <w:sz w:val="21"/>
          <w:lang w:eastAsia="ru-RU"/>
        </w:rPr>
        <w:t> 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— флагманская модель, изначально рассчитанная для стрельбы на предельные дальности. Из ее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кастомизированной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версии установлен предыдущий рекорд на 3400 метров. Базовая модель по характеристикам не уступает рекордной версии, даже превосходя ее по длине ствола в базовой комплектации.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14875" cy="3143250"/>
            <wp:effectExtent l="19050" t="0" r="9525" b="0"/>
            <wp:docPr id="4" name="Рисунок 4" descr="Выбор оруж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оруж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hyperlink r:id="rId12" w:tgtFrame="_blank" w:history="1">
        <w:r w:rsidRPr="00D94E4D">
          <w:rPr>
            <w:rFonts w:ascii="inherit" w:eastAsia="Times New Roman" w:hAnsi="inherit" w:cs="Arial"/>
            <w:color w:val="990000"/>
            <w:sz w:val="21"/>
            <w:lang w:eastAsia="ru-RU"/>
          </w:rPr>
          <w:t>DXL-4 Севастополь</w:t>
        </w:r>
      </w:hyperlink>
      <w:r w:rsidRPr="00D94E4D">
        <w:rPr>
          <w:rFonts w:ascii="inherit" w:eastAsia="Times New Roman" w:hAnsi="inherit" w:cs="Arial"/>
          <w:color w:val="333333"/>
          <w:sz w:val="21"/>
          <w:lang w:eastAsia="ru-RU"/>
        </w:rPr>
        <w:t> 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— новая снайперская винтовка, при своей портативности демонстрирующая незаурядные дальнобойные качества. Положительный опыт по достижению стабильной кучности в высоких «тройках» (0.300+ МОА) на DXL-3 уверил нас в возможности создания крупнокалиберной винтовки настолько точной, чтобы быть сверхдальнобойной.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714875" cy="3324225"/>
            <wp:effectExtent l="19050" t="0" r="9525" b="0"/>
            <wp:docPr id="5" name="Рисунок 5" descr="Выбор оруж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бор оруж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Выбор интересный, ведь мы сами никогда до этого не сравнивали эти две винтовки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бок-о-бок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«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далеко». Чтоб в одинаковых ветровых условиях, да на одной и той же дальности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….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Нет. Нам срочно нужен был сравнительный тест.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Ну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хотя бы предварительный.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ИСПЫТАНИЯ</w:t>
      </w:r>
      <w:r w:rsidRPr="00D94E4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Сказано — сделано. И вот на полигоне найдено удобное место. Мы рассчитывали найти что-нибудь на 2200, но наиболее удобная площадка ждала нас на 2165 метров.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Бета-тестером обоих изделий выступил</w:t>
      </w:r>
      <w:r w:rsidRPr="00D94E4D">
        <w:rPr>
          <w:rFonts w:ascii="inherit" w:eastAsia="Times New Roman" w:hAnsi="inherit" w:cs="Arial"/>
          <w:color w:val="333333"/>
          <w:sz w:val="21"/>
          <w:lang w:eastAsia="ru-RU"/>
        </w:rPr>
        <w:t> </w:t>
      </w:r>
      <w:hyperlink r:id="rId14" w:tgtFrame="_blank" w:history="1">
        <w:r w:rsidRPr="00D94E4D">
          <w:rPr>
            <w:rFonts w:ascii="inherit" w:eastAsia="Times New Roman" w:hAnsi="inherit" w:cs="Arial"/>
            <w:color w:val="990000"/>
            <w:sz w:val="21"/>
            <w:lang w:eastAsia="ru-RU"/>
          </w:rPr>
          <w:t xml:space="preserve">Андрей </w:t>
        </w:r>
        <w:proofErr w:type="spellStart"/>
        <w:r w:rsidRPr="00D94E4D">
          <w:rPr>
            <w:rFonts w:ascii="inherit" w:eastAsia="Times New Roman" w:hAnsi="inherit" w:cs="Arial"/>
            <w:color w:val="990000"/>
            <w:sz w:val="21"/>
            <w:lang w:eastAsia="ru-RU"/>
          </w:rPr>
          <w:t>Рябинский</w:t>
        </w:r>
        <w:proofErr w:type="spellEnd"/>
      </w:hyperlink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человек искушенный в стрельбе «на далеко», и способный дать не только техническое экспертное мнение, но и непредвзятую оценку характеристик двух сравниваемых моделей.</w:t>
      </w:r>
      <w:proofErr w:type="gramEnd"/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99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56718" cy="3641124"/>
            <wp:effectExtent l="19050" t="0" r="0" b="0"/>
            <wp:docPr id="6" name="Рисунок 6" descr="Выбор оружи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бор оружи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64" cy="36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Первым был расчехлен основной претендент — Сумрак. СВЛК-14, увенчанная новым Т-тюнером Т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6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.2, была традиционно надежна на эту дальность и первая же сделанная группа стала лучше группой дня.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Андрей стрельнул наилучший результат из известных нам на дальностях за две тысячи — 43 см, иначе говоря, что-то около 0.6 МОА.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Мнение Андрея по результатам:</w:t>
      </w:r>
    </w:p>
    <w:p w:rsidR="00D94E4D" w:rsidRPr="00D94E4D" w:rsidRDefault="00D94E4D" w:rsidP="00D94E4D">
      <w:pPr>
        <w:shd w:val="clear" w:color="auto" w:fill="F8F9F9"/>
        <w:spacing w:after="0" w:line="270" w:lineRule="atLeast"/>
        <w:textAlignment w:val="baseline"/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 xml:space="preserve">«Впечатления от стрельбы самые позитивные. С новым дульным тормозом отдача стала гораздо более комфортной, напоминая </w:t>
      </w:r>
      <w:proofErr w:type="gramStart"/>
      <w:r w:rsidRPr="00D94E4D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обычный</w:t>
      </w:r>
      <w:proofErr w:type="gramEnd"/>
      <w:r w:rsidRPr="00D94E4D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D94E4D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магнум</w:t>
      </w:r>
      <w:proofErr w:type="spellEnd"/>
      <w:r w:rsidRPr="00D94E4D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. Это позволяет сосредоточиться на более важных вещах, чем правильная прикладка».</w:t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ectPr w:rsidR="00D94E4D" w:rsidSect="00AD5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990000"/>
          <w:sz w:val="21"/>
          <w:szCs w:val="21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2827000" cy="8542020"/>
            <wp:effectExtent l="19050" t="0" r="0" b="0"/>
            <wp:wrapSquare wrapText="bothSides"/>
            <wp:docPr id="7" name="Рисунок 7" descr="Выбор оруж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оруж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0" cy="854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sectPr w:rsidR="00D94E4D" w:rsidSect="00D94E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611214" cy="8697009"/>
            <wp:effectExtent l="19050" t="0" r="8286" b="0"/>
            <wp:docPr id="8" name="Рисунок 8" descr="Выбор оруж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бор оруж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29" cy="87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Заявка была сделана серьезная. Мишенные люди пребывали в легком шоке, наблюдая за процессом формирования группы. На огневой позиции слышалось сдержанное ликование.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99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635159" cy="3888260"/>
            <wp:effectExtent l="19050" t="0" r="3641" b="0"/>
            <wp:docPr id="9" name="Рисунок 9" descr="Выбор оружия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бор оружия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7" cy="388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Но пришла пора распечатывать Севастополь, привычный бить врага на дальних подступах. Данная DXL-4 была выполнена в однозарядном варианте с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кастомным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двойным портом (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dual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port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) для удобства закладки с любой стороны 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эжектированием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на правую сторону. Из аксессуаров можно отметить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установленный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для испытаний заморский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монопод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(«третью ногу»)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Magpul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. Обе винтовки были укомплектованы проверенными прицелами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March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регулируемыми кронштейнами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Reknagel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. Сошки применялись стандартные: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Harris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Atlas</w:t>
      </w:r>
      <w:proofErr w:type="spell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На специальном Сумраке, испытывающем новые пули, были установлены регулируемые сошки «Царь-Пушка».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99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06532" cy="3402227"/>
            <wp:effectExtent l="19050" t="0" r="0" b="0"/>
            <wp:docPr id="10" name="Рисунок 10" descr="Выбор оружи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бор оружи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64" cy="34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РЕЗУЛЬТАТЫ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П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ри всей разнице в компоновке и даже в концепции этих моделей, из разницы в стрельбе можно отметить только баллистику. На прицел Севастополя пришлось добавить ровно 10 минут — сказывалась разница в длинах стволов. По причине меньшей скорости,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следовательно и меньшего БК, добавилось 2 МОА горизонтали на ветер такой же силы. Все.</w:t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 xml:space="preserve">В остальном, если абстрагироваться от введенных в прицел поправок, это была </w:t>
      </w:r>
      <w:proofErr w:type="gramStart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совершенно сопоставимая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 эффективности стрельба.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99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950940" cy="2562111"/>
            <wp:effectExtent l="19050" t="0" r="2060" b="0"/>
            <wp:docPr id="11" name="Рисунок 11" descr="Выбор оружия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бор оружия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14" cy="256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24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Да, Сумрак может устанавливать рекорды не только по дальности, но и по кучности, для чего собственно он и создавался, но на дальностях до 2200 метров обе винтовки демонстрировали в целом сходные показатели по вероятности попадания в заданный габарит. Без какого-либо значительного преимущества одной из моделей.</w:t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99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48400" cy="3896497"/>
            <wp:effectExtent l="19050" t="0" r="0" b="0"/>
            <wp:docPr id="12" name="Рисунок 12" descr="Выбор оружия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бор оружия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70" cy="38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4D" w:rsidRPr="00D94E4D" w:rsidRDefault="00D94E4D" w:rsidP="00D94E4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b/>
          <w:bCs/>
          <w:color w:val="333333"/>
          <w:sz w:val="21"/>
          <w:lang w:eastAsia="ru-RU"/>
        </w:rPr>
        <w:t>ЧТО ДАЛЬШЕ</w:t>
      </w:r>
      <w:proofErr w:type="gramStart"/>
      <w:r w:rsidRPr="00D94E4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/>
      </w:r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Д</w:t>
      </w:r>
      <w:proofErr w:type="gramEnd"/>
      <w:r w:rsidRPr="00D94E4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ля выяснения практического лимита DXL-4 по дальности нам необходимо будет провести еще ряд тестов, по результатам которых можно будет определить — сможем ли мы «разогнать» ее на новый рекорд или придется прибегнуть к проверенному Сумраку.</w:t>
      </w:r>
    </w:p>
    <w:p w:rsidR="00AD5BA4" w:rsidRDefault="00AD5BA4" w:rsidP="00D94E4D"/>
    <w:sectPr w:rsidR="00AD5BA4" w:rsidSect="00AD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407"/>
    <w:multiLevelType w:val="multilevel"/>
    <w:tmpl w:val="024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4E4D"/>
    <w:rsid w:val="00AD5BA4"/>
    <w:rsid w:val="00D9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A4"/>
  </w:style>
  <w:style w:type="paragraph" w:styleId="1">
    <w:name w:val="heading 1"/>
    <w:basedOn w:val="a"/>
    <w:link w:val="10"/>
    <w:uiPriority w:val="9"/>
    <w:qFormat/>
    <w:rsid w:val="00D94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4E4D"/>
    <w:rPr>
      <w:color w:val="0000FF"/>
      <w:u w:val="single"/>
    </w:rPr>
  </w:style>
  <w:style w:type="character" w:styleId="a4">
    <w:name w:val="Strong"/>
    <w:basedOn w:val="a0"/>
    <w:uiPriority w:val="22"/>
    <w:qFormat/>
    <w:rsid w:val="00D94E4D"/>
    <w:rPr>
      <w:b/>
      <w:bCs/>
    </w:rPr>
  </w:style>
  <w:style w:type="character" w:customStyle="1" w:styleId="apple-converted-space">
    <w:name w:val="apple-converted-space"/>
    <w:basedOn w:val="a0"/>
    <w:rsid w:val="00D94E4D"/>
  </w:style>
  <w:style w:type="paragraph" w:styleId="a5">
    <w:name w:val="Balloon Text"/>
    <w:basedOn w:val="a"/>
    <w:link w:val="a6"/>
    <w:uiPriority w:val="99"/>
    <w:semiHidden/>
    <w:unhideWhenUsed/>
    <w:rsid w:val="00D9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18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36" w:space="8" w:color="438FBF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cdn.topwar.ru/uploads/posts/2015-12/1449395190_1600_lr5-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topwar.ru/engine/go.php?url=aHR0cDovL2xvYmFldmFybXMucnUvcHJvZHVjdHMvc3ZlcmhkYWxub2Jvam5heWEtc25hanBlcnNrYXlhLXZpbnRvdmthLWR4bC00Lw%3D%3D" TargetMode="External"/><Relationship Id="rId17" Type="http://schemas.openxmlformats.org/officeDocument/2006/relationships/hyperlink" Target="http://cdn.topwar.ru/uploads/posts/2015-12/1449394949_1600_img_0855.jpg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cdn.topwar.ru/uploads/posts/2015-12/1449395044_croped_1600_lr5-5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pwar.ru/engine/go.php?url=aHR0cDovL2xvYmFldi5jb20vZXhjbHVzaXZlL25hc2gtaG9k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cdn.topwar.ru/uploads/posts/2015-12/1449395175_croped_1600_lr5-6.jpg" TargetMode="External"/><Relationship Id="rId5" Type="http://schemas.openxmlformats.org/officeDocument/2006/relationships/hyperlink" Target="http://topwar.ru/engine/go.php?url=aHR0cDovL2xvYmFldi5jb20vZXhjbHVzaXZlL3Jla29yZC1uYS0zNDAwLWthay1ldG8tYnlsbw%3D%3D" TargetMode="External"/><Relationship Id="rId15" Type="http://schemas.openxmlformats.org/officeDocument/2006/relationships/hyperlink" Target="http://cdn.topwar.ru/uploads/posts/2015-12/1449394948_1600_colored_r5_colored-11.jpg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topwar.ru/engine/go.php?url=aHR0cDovL2xvYmFldmFybXMucnUvcHJvZHVjdHMvc3Zsay1sb25ncmFuZ2Utc25pcGVyLXJpZmxlLw%3D%3D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opwar.ru/engine/go.php?url=aHR0cHM6Ly93d3cuaW5zdGFncmFtLmNvbS9yeWFiaW5za2l5Lw%3D%3D" TargetMode="External"/><Relationship Id="rId22" Type="http://schemas.openxmlformats.org/officeDocument/2006/relationships/hyperlink" Target="http://cdn.topwar.ru/uploads/posts/2015-12/1449395171_1600_lr5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1224</Words>
  <Characters>6982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BOSS1</dc:creator>
  <cp:lastModifiedBy>BOSS1</cp:lastModifiedBy>
  <cp:revision>1</cp:revision>
  <dcterms:created xsi:type="dcterms:W3CDTF">2015-12-12T05:23:00Z</dcterms:created>
  <dcterms:modified xsi:type="dcterms:W3CDTF">2015-12-12T05:26:00Z</dcterms:modified>
</cp:coreProperties>
</file>